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5746A">
      <w:pPr>
        <w:spacing w:after="0" w:line="360" w:lineRule="auto"/>
        <w:jc w:val="center"/>
        <w:rPr>
          <w:rFonts w:ascii="黑体" w:hAnsi="黑体" w:eastAsia="黑体"/>
          <w:sz w:val="44"/>
          <w:szCs w:val="44"/>
        </w:rPr>
      </w:pPr>
      <w:r>
        <w:rPr>
          <w:rFonts w:hint="eastAsia" w:ascii="黑体" w:hAnsi="黑体" w:eastAsia="黑体"/>
          <w:sz w:val="44"/>
          <w:szCs w:val="44"/>
        </w:rPr>
        <w:t>黑龙江八一农垦大学</w:t>
      </w:r>
      <w:bookmarkStart w:id="0" w:name="OLE_LINK1"/>
      <w:r>
        <w:rPr>
          <w:rFonts w:hint="eastAsia" w:ascii="黑体" w:hAnsi="黑体" w:eastAsia="黑体"/>
          <w:sz w:val="44"/>
          <w:szCs w:val="44"/>
        </w:rPr>
        <w:t>与马来西亚精英大学共同举办</w:t>
      </w:r>
      <w:r>
        <w:rPr>
          <w:rFonts w:ascii="黑体" w:hAnsi="黑体" w:eastAsia="黑体"/>
          <w:sz w:val="44"/>
          <w:szCs w:val="44"/>
        </w:rPr>
        <w:t>数据科学与大数据技术专业</w:t>
      </w:r>
      <w:bookmarkEnd w:id="0"/>
    </w:p>
    <w:p w14:paraId="61D4DE16">
      <w:pPr>
        <w:spacing w:after="0" w:line="360" w:lineRule="auto"/>
        <w:jc w:val="center"/>
        <w:rPr>
          <w:rFonts w:hint="eastAsia" w:ascii="黑体" w:hAnsi="黑体" w:eastAsia="黑体"/>
          <w:sz w:val="44"/>
          <w:szCs w:val="44"/>
        </w:rPr>
      </w:pPr>
      <w:r>
        <w:rPr>
          <w:rFonts w:ascii="黑体" w:hAnsi="黑体" w:eastAsia="黑体"/>
          <w:sz w:val="44"/>
          <w:szCs w:val="44"/>
        </w:rPr>
        <w:t>中外合作办学项目</w:t>
      </w:r>
      <w:r>
        <w:rPr>
          <w:rFonts w:hint="eastAsia" w:ascii="黑体" w:hAnsi="黑体" w:eastAsia="黑体"/>
          <w:sz w:val="44"/>
          <w:szCs w:val="44"/>
        </w:rPr>
        <w:t>进展情况汇报</w:t>
      </w:r>
    </w:p>
    <w:p w14:paraId="63B1FDD9">
      <w:pPr>
        <w:spacing w:after="0" w:line="360" w:lineRule="auto"/>
        <w:ind w:firstLine="640" w:firstLineChars="200"/>
        <w:jc w:val="both"/>
        <w:rPr>
          <w:rFonts w:hint="eastAsia" w:ascii="仿宋" w:hAnsi="仿宋" w:eastAsia="仿宋"/>
          <w:sz w:val="32"/>
          <w:szCs w:val="32"/>
        </w:rPr>
      </w:pPr>
    </w:p>
    <w:p w14:paraId="20A757D5">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2025年以来，鉴于</w:t>
      </w:r>
      <w:r>
        <w:rPr>
          <w:rFonts w:hint="eastAsia" w:ascii="仿宋" w:hAnsi="仿宋" w:eastAsia="仿宋"/>
          <w:sz w:val="32"/>
          <w:szCs w:val="32"/>
          <w:lang w:val="en-US" w:eastAsia="zh-CN"/>
        </w:rPr>
        <w:t>我校</w:t>
      </w:r>
      <w:r>
        <w:rPr>
          <w:rFonts w:hint="eastAsia" w:ascii="仿宋" w:hAnsi="仿宋" w:eastAsia="仿宋"/>
          <w:sz w:val="32"/>
          <w:szCs w:val="32"/>
        </w:rPr>
        <w:t>与俄罗斯符拉迪沃斯托克国立大学的中外合作办学项目运行面临困难，国际合作与交流中心在保持与俄方对话的同时，开始积极对外沟通并储备新项目。2025年5月以来，根据教育主管部门陆续出台的各项新规，针对省内办学合作国别结构特点，结合我校办学实际，选定两个马来西亚院校就不同专业进行中外合作办学项目储备</w:t>
      </w:r>
      <w:r>
        <w:rPr>
          <w:rFonts w:hint="eastAsia" w:ascii="仿宋" w:hAnsi="仿宋" w:eastAsia="仿宋"/>
          <w:sz w:val="32"/>
          <w:szCs w:val="32"/>
          <w:lang w:eastAsia="zh-CN"/>
        </w:rPr>
        <w:t>。</w:t>
      </w:r>
      <w:r>
        <w:rPr>
          <w:rFonts w:hint="eastAsia" w:ascii="仿宋" w:hAnsi="仿宋" w:eastAsia="仿宋"/>
          <w:sz w:val="32"/>
          <w:szCs w:val="32"/>
        </w:rPr>
        <w:t>现就与马</w:t>
      </w:r>
      <w:r>
        <w:rPr>
          <w:rFonts w:hint="eastAsia" w:ascii="仿宋" w:hAnsi="仿宋" w:eastAsia="仿宋"/>
          <w:sz w:val="32"/>
          <w:szCs w:val="32"/>
          <w:lang w:val="en-US" w:eastAsia="zh-CN"/>
        </w:rPr>
        <w:t>来</w:t>
      </w:r>
      <w:r>
        <w:rPr>
          <w:rFonts w:hint="eastAsia" w:ascii="仿宋" w:hAnsi="仿宋" w:eastAsia="仿宋"/>
          <w:sz w:val="32"/>
          <w:szCs w:val="32"/>
        </w:rPr>
        <w:t>西亚精英大学共同举办</w:t>
      </w:r>
      <w:r>
        <w:rPr>
          <w:rFonts w:ascii="仿宋" w:hAnsi="仿宋" w:eastAsia="仿宋"/>
          <w:sz w:val="32"/>
          <w:szCs w:val="32"/>
        </w:rPr>
        <w:t>数据科学与大数据技术专业</w:t>
      </w:r>
      <w:r>
        <w:rPr>
          <w:rFonts w:hint="eastAsia" w:ascii="仿宋" w:hAnsi="仿宋" w:eastAsia="仿宋"/>
          <w:sz w:val="32"/>
          <w:szCs w:val="32"/>
        </w:rPr>
        <w:t>中外合作办学项目的情况进行汇报。</w:t>
      </w:r>
    </w:p>
    <w:p w14:paraId="4FD42090">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马来西亚精英大学隶属于马来西亚精英教育集团，是东南亚地区声誉突出的私立高等学府，位于马来西亚首都吉隆坡市区。</w:t>
      </w:r>
      <w:r>
        <w:rPr>
          <w:rFonts w:ascii="仿宋" w:hAnsi="仿宋" w:eastAsia="仿宋"/>
          <w:sz w:val="32"/>
          <w:szCs w:val="32"/>
        </w:rPr>
        <w:t>精英大学课程全部受到马来西亚教育部批准与承认</w:t>
      </w:r>
      <w:r>
        <w:rPr>
          <w:rFonts w:hint="eastAsia" w:ascii="仿宋" w:hAnsi="仿宋" w:eastAsia="仿宋"/>
          <w:sz w:val="32"/>
          <w:szCs w:val="32"/>
        </w:rPr>
        <w:t>，</w:t>
      </w:r>
      <w:r>
        <w:rPr>
          <w:rFonts w:ascii="仿宋" w:hAnsi="仿宋" w:eastAsia="仿宋"/>
          <w:sz w:val="32"/>
          <w:szCs w:val="32"/>
        </w:rPr>
        <w:t>获马来西亚政府批准向</w:t>
      </w:r>
      <w:r>
        <w:rPr>
          <w:rFonts w:hint="eastAsia" w:ascii="仿宋" w:hAnsi="仿宋" w:eastAsia="仿宋"/>
          <w:sz w:val="32"/>
          <w:szCs w:val="32"/>
          <w:lang w:val="en-US" w:eastAsia="zh-CN"/>
        </w:rPr>
        <w:t>包括中国在内的</w:t>
      </w:r>
      <w:r>
        <w:rPr>
          <w:rFonts w:ascii="仿宋" w:hAnsi="仿宋" w:eastAsia="仿宋"/>
          <w:sz w:val="32"/>
          <w:szCs w:val="32"/>
        </w:rPr>
        <w:t>世界各地招生</w:t>
      </w:r>
      <w:r>
        <w:rPr>
          <w:rFonts w:hint="eastAsia" w:ascii="仿宋" w:hAnsi="仿宋" w:eastAsia="仿宋"/>
          <w:sz w:val="32"/>
          <w:szCs w:val="32"/>
          <w:lang w:eastAsia="zh-CN"/>
        </w:rPr>
        <w:t>，</w:t>
      </w:r>
      <w:r>
        <w:rPr>
          <w:rFonts w:hint="eastAsia" w:ascii="仿宋" w:hAnsi="仿宋" w:eastAsia="仿宋"/>
          <w:sz w:val="32"/>
          <w:szCs w:val="32"/>
        </w:rPr>
        <w:t>中国教育部推荐和教育部留服中心认证的马来西亚大学之一。其共有8大科系、11个学院、1个研究院和7个学习中心；课程内容广泛且多样</w:t>
      </w:r>
      <w:r>
        <w:rPr>
          <w:rFonts w:hint="eastAsia" w:ascii="仿宋" w:hAnsi="仿宋" w:eastAsia="仿宋"/>
          <w:sz w:val="32"/>
          <w:szCs w:val="32"/>
          <w:lang w:eastAsia="zh-CN"/>
        </w:rPr>
        <w:t>，</w:t>
      </w:r>
      <w:r>
        <w:rPr>
          <w:rFonts w:hint="eastAsia" w:ascii="仿宋" w:hAnsi="仿宋" w:eastAsia="仿宋"/>
          <w:sz w:val="32"/>
          <w:szCs w:val="32"/>
        </w:rPr>
        <w:t>涵盖商业、法律、管理、经济、科技、数据分析、社会科学和人文科学的本科课程及研究生课程；开设有21个本科专业、15个硕士专业和4个博士专业；在校学生人数超过10,000人，专任教师600名，其中60多位持有博士学位，多数毕业于世界著名大学</w:t>
      </w:r>
      <w:r>
        <w:rPr>
          <w:rFonts w:hint="eastAsia" w:ascii="仿宋" w:hAnsi="仿宋" w:eastAsia="仿宋"/>
          <w:sz w:val="32"/>
          <w:szCs w:val="32"/>
          <w:lang w:eastAsia="zh-CN"/>
        </w:rPr>
        <w:t>，</w:t>
      </w:r>
      <w:r>
        <w:rPr>
          <w:rFonts w:hint="eastAsia" w:ascii="仿宋" w:hAnsi="仿宋" w:eastAsia="仿宋"/>
          <w:sz w:val="32"/>
          <w:szCs w:val="32"/>
        </w:rPr>
        <w:t>拥有高水准的教育质量。精英大学具有浓厚华裔背景，已持续10年颁发汶川大地震百万美元奖学金</w:t>
      </w:r>
      <w:r>
        <w:rPr>
          <w:rFonts w:hint="eastAsia" w:ascii="仿宋" w:hAnsi="仿宋" w:eastAsia="仿宋"/>
          <w:sz w:val="32"/>
          <w:szCs w:val="32"/>
          <w:lang w:eastAsia="zh-CN"/>
        </w:rPr>
        <w:t>（</w:t>
      </w:r>
      <w:r>
        <w:rPr>
          <w:rFonts w:hint="eastAsia" w:ascii="仿宋" w:hAnsi="仿宋" w:eastAsia="仿宋"/>
          <w:sz w:val="32"/>
          <w:szCs w:val="32"/>
        </w:rPr>
        <w:t>即都江堰奖学金</w:t>
      </w:r>
      <w:r>
        <w:rPr>
          <w:rFonts w:hint="eastAsia" w:ascii="仿宋" w:hAnsi="仿宋" w:eastAsia="仿宋"/>
          <w:sz w:val="32"/>
          <w:szCs w:val="32"/>
          <w:lang w:eastAsia="zh-CN"/>
        </w:rPr>
        <w:t>）</w:t>
      </w:r>
      <w:r>
        <w:rPr>
          <w:rFonts w:hint="eastAsia" w:ascii="仿宋" w:hAnsi="仿宋" w:eastAsia="仿宋"/>
          <w:sz w:val="32"/>
          <w:szCs w:val="32"/>
        </w:rPr>
        <w:t>。根据公开资料显示，该校2025QS亚洲大学排名601-620且逐年提高，综合水平相当于山东农业大学。</w:t>
      </w:r>
    </w:p>
    <w:p w14:paraId="7A1E2C20">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经过半年左右的不断对接，</w:t>
      </w:r>
      <w:r>
        <w:rPr>
          <w:rFonts w:hint="eastAsia" w:ascii="仿宋" w:hAnsi="仿宋" w:eastAsia="仿宋"/>
          <w:sz w:val="32"/>
          <w:szCs w:val="32"/>
          <w:lang w:val="en-US" w:eastAsia="zh-CN"/>
        </w:rPr>
        <w:t>2025年10月31日在北京与精英大学中国区代表会面；</w:t>
      </w:r>
      <w:r>
        <w:rPr>
          <w:rFonts w:hint="eastAsia" w:ascii="仿宋" w:hAnsi="仿宋" w:eastAsia="仿宋"/>
          <w:sz w:val="32"/>
          <w:szCs w:val="32"/>
        </w:rPr>
        <w:t>2025年12月5日两校通过视频会议</w:t>
      </w:r>
      <w:r>
        <w:rPr>
          <w:rFonts w:hint="eastAsia" w:ascii="仿宋" w:hAnsi="仿宋" w:eastAsia="仿宋"/>
          <w:sz w:val="32"/>
          <w:szCs w:val="32"/>
          <w:lang w:eastAsia="zh-CN"/>
        </w:rPr>
        <w:t>，</w:t>
      </w:r>
      <w:r>
        <w:rPr>
          <w:rFonts w:hint="eastAsia" w:ascii="仿宋" w:hAnsi="仿宋" w:eastAsia="仿宋"/>
          <w:sz w:val="32"/>
          <w:szCs w:val="32"/>
          <w:lang w:val="en-US" w:eastAsia="zh-CN"/>
        </w:rPr>
        <w:t>进行副校长级别对话，</w:t>
      </w:r>
      <w:r>
        <w:rPr>
          <w:rFonts w:hint="eastAsia" w:ascii="仿宋" w:hAnsi="仿宋" w:eastAsia="仿宋"/>
          <w:sz w:val="32"/>
          <w:szCs w:val="32"/>
        </w:rPr>
        <w:t>就</w:t>
      </w:r>
      <w:r>
        <w:rPr>
          <w:rFonts w:ascii="仿宋" w:hAnsi="仿宋" w:eastAsia="仿宋"/>
          <w:sz w:val="32"/>
          <w:szCs w:val="32"/>
        </w:rPr>
        <w:t>数据科学与大数据技术专业</w:t>
      </w:r>
      <w:r>
        <w:rPr>
          <w:rFonts w:hint="eastAsia" w:ascii="仿宋" w:hAnsi="仿宋" w:eastAsia="仿宋"/>
          <w:sz w:val="32"/>
          <w:szCs w:val="32"/>
        </w:rPr>
        <w:t>进行中外合作办学达成初步一致；12月26日两校互换并签署合作备忘录（MOU）；12月6日开始</w:t>
      </w:r>
      <w:r>
        <w:rPr>
          <w:rFonts w:hint="eastAsia" w:ascii="仿宋" w:hAnsi="仿宋" w:eastAsia="仿宋"/>
          <w:sz w:val="32"/>
          <w:szCs w:val="32"/>
          <w:lang w:eastAsia="zh-CN"/>
        </w:rPr>
        <w:t>，</w:t>
      </w:r>
      <w:r>
        <w:rPr>
          <w:rFonts w:hint="eastAsia" w:ascii="仿宋" w:hAnsi="仿宋" w:eastAsia="仿宋"/>
          <w:sz w:val="32"/>
          <w:szCs w:val="32"/>
          <w:lang w:val="en-US" w:eastAsia="zh-CN"/>
        </w:rPr>
        <w:t>两校不断</w:t>
      </w:r>
      <w:r>
        <w:rPr>
          <w:rFonts w:hint="eastAsia" w:ascii="仿宋" w:hAnsi="仿宋" w:eastAsia="仿宋"/>
          <w:sz w:val="32"/>
          <w:szCs w:val="32"/>
        </w:rPr>
        <w:t>进行培养方案及教学大纲的互换与匹配，经信电学院紧密配合现已初步匹配完毕，下一步计划进行联合培养方案的</w:t>
      </w:r>
      <w:r>
        <w:rPr>
          <w:rFonts w:hint="eastAsia" w:ascii="仿宋" w:hAnsi="仿宋" w:eastAsia="仿宋"/>
          <w:sz w:val="32"/>
          <w:szCs w:val="32"/>
          <w:lang w:val="en-US" w:eastAsia="zh-CN"/>
        </w:rPr>
        <w:t>撰</w:t>
      </w:r>
      <w:r>
        <w:rPr>
          <w:rFonts w:hint="eastAsia" w:ascii="仿宋" w:hAnsi="仿宋" w:eastAsia="仿宋"/>
          <w:sz w:val="32"/>
          <w:szCs w:val="32"/>
        </w:rPr>
        <w:t>写与核定。目前，合作主体协议（需备案至教育部）及补充协议（两校具体合作条款）签署已</w:t>
      </w:r>
      <w:r>
        <w:rPr>
          <w:rFonts w:hint="eastAsia" w:ascii="仿宋" w:hAnsi="仿宋" w:eastAsia="仿宋"/>
          <w:sz w:val="32"/>
          <w:szCs w:val="32"/>
          <w:lang w:val="en-US" w:eastAsia="zh-CN"/>
        </w:rPr>
        <w:t>分别</w:t>
      </w:r>
      <w:r>
        <w:rPr>
          <w:rFonts w:hint="eastAsia" w:ascii="仿宋" w:hAnsi="仿宋" w:eastAsia="仿宋"/>
          <w:sz w:val="32"/>
          <w:szCs w:val="32"/>
        </w:rPr>
        <w:t>列入两校各自工作计划，新项目申请各项材料准备已制定具体工作时间表（见附件1）。如各项工作能够按计划顺利推进，此项目有望</w:t>
      </w:r>
      <w:r>
        <w:rPr>
          <w:rFonts w:hint="eastAsia" w:ascii="仿宋" w:hAnsi="仿宋" w:eastAsia="仿宋"/>
          <w:sz w:val="32"/>
          <w:szCs w:val="32"/>
          <w:lang w:val="en-US" w:eastAsia="zh-CN"/>
        </w:rPr>
        <w:t>于</w:t>
      </w:r>
      <w:r>
        <w:rPr>
          <w:rFonts w:hint="eastAsia" w:ascii="仿宋" w:hAnsi="仿宋" w:eastAsia="仿宋"/>
          <w:sz w:val="32"/>
          <w:szCs w:val="32"/>
        </w:rPr>
        <w:t>2026年3月提交教育部进行审批。</w:t>
      </w:r>
    </w:p>
    <w:p w14:paraId="2FFA7DF9">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根据教育部2025年5月最新政策精神，取消了中外合作办学项目“申报专业至少应有一届毕业生”的限制，因此我校</w:t>
      </w:r>
      <w:r>
        <w:rPr>
          <w:rFonts w:ascii="仿宋" w:hAnsi="仿宋" w:eastAsia="仿宋"/>
          <w:sz w:val="32"/>
          <w:szCs w:val="32"/>
        </w:rPr>
        <w:t>数据科学与大数据技术专业</w:t>
      </w:r>
      <w:r>
        <w:rPr>
          <w:rFonts w:hint="eastAsia" w:ascii="仿宋" w:hAnsi="仿宋" w:eastAsia="仿宋"/>
          <w:sz w:val="32"/>
          <w:szCs w:val="32"/>
        </w:rPr>
        <w:t>作为新办专业具备申报资格。精英大学地处马来西亚，是东盟重要成员国，从国别上来看有利于我省对外合作多元化的实现，呼应国家相关政策；从学校文化背景来看，学校具有中英双语授课潜力，有利于我校目前学生培养实际；从专业匹配度来看，精英大学专业课程设置科学紧凑，与世界尤其是英联邦国家教学体系接轨完善，有利于我校大数据专业未来发展及</w:t>
      </w:r>
      <w:r>
        <w:rPr>
          <w:rFonts w:hint="eastAsia" w:ascii="仿宋" w:hAnsi="仿宋" w:eastAsia="仿宋"/>
          <w:sz w:val="32"/>
          <w:szCs w:val="32"/>
          <w:lang w:val="en-US" w:eastAsia="zh-CN"/>
        </w:rPr>
        <w:t>延伸</w:t>
      </w:r>
      <w:r>
        <w:rPr>
          <w:rFonts w:hint="eastAsia" w:ascii="仿宋" w:hAnsi="仿宋" w:eastAsia="仿宋"/>
          <w:sz w:val="32"/>
          <w:szCs w:val="32"/>
        </w:rPr>
        <w:t>。</w:t>
      </w:r>
    </w:p>
    <w:p w14:paraId="17C85C97">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根据上述汇报，本次会议请各位参会成员就以下事项进行讨论并形成统一意见：</w:t>
      </w:r>
    </w:p>
    <w:p w14:paraId="1C8CC6D8">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1.就此项目进一步筹备并提交2026年3月教育部审批进行审议；</w:t>
      </w:r>
    </w:p>
    <w:p w14:paraId="35FBEF4B">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2.就本项目具体工作推进时间表（见附件1）进行审议；</w:t>
      </w:r>
    </w:p>
    <w:p w14:paraId="266C86E7">
      <w:pPr>
        <w:spacing w:after="0" w:line="360" w:lineRule="auto"/>
        <w:ind w:firstLine="640" w:firstLineChars="200"/>
        <w:jc w:val="both"/>
        <w:rPr>
          <w:rFonts w:ascii="仿宋" w:hAnsi="仿宋" w:eastAsia="仿宋"/>
          <w:sz w:val="32"/>
          <w:szCs w:val="32"/>
        </w:rPr>
      </w:pPr>
      <w:r>
        <w:rPr>
          <w:rFonts w:hint="eastAsia" w:ascii="仿宋" w:hAnsi="仿宋" w:eastAsia="仿宋"/>
          <w:sz w:val="32"/>
          <w:szCs w:val="32"/>
        </w:rPr>
        <w:t>3.就本项目</w:t>
      </w:r>
      <w:r>
        <w:rPr>
          <w:rFonts w:hint="eastAsia" w:ascii="仿宋" w:hAnsi="仿宋" w:eastAsia="仿宋"/>
          <w:sz w:val="32"/>
          <w:szCs w:val="32"/>
          <w:lang w:val="en-US" w:eastAsia="zh-CN"/>
        </w:rPr>
        <w:t>工作专班人员架构</w:t>
      </w:r>
      <w:r>
        <w:rPr>
          <w:rFonts w:hint="eastAsia" w:ascii="仿宋" w:hAnsi="仿宋" w:eastAsia="仿宋"/>
          <w:sz w:val="32"/>
          <w:szCs w:val="32"/>
        </w:rPr>
        <w:t>（见附件2）进行审议；</w:t>
      </w:r>
    </w:p>
    <w:p w14:paraId="6EA98AC6">
      <w:pPr>
        <w:spacing w:after="0" w:line="360" w:lineRule="auto"/>
        <w:ind w:firstLine="640" w:firstLineChars="200"/>
        <w:jc w:val="both"/>
        <w:rPr>
          <w:rFonts w:hint="eastAsia" w:ascii="仿宋" w:hAnsi="仿宋" w:eastAsia="仿宋"/>
          <w:sz w:val="32"/>
          <w:szCs w:val="32"/>
        </w:rPr>
      </w:pPr>
      <w:r>
        <w:rPr>
          <w:rFonts w:hint="eastAsia" w:ascii="仿宋" w:hAnsi="仿宋" w:eastAsia="仿宋"/>
          <w:sz w:val="32"/>
          <w:szCs w:val="32"/>
        </w:rPr>
        <w:t>4.就本项目</w:t>
      </w:r>
      <w:r>
        <w:rPr>
          <w:rFonts w:hint="eastAsia" w:ascii="仿宋" w:hAnsi="仿宋" w:eastAsia="仿宋"/>
          <w:sz w:val="32"/>
          <w:szCs w:val="32"/>
          <w:lang w:val="en-US" w:eastAsia="zh-CN"/>
        </w:rPr>
        <w:t>校际</w:t>
      </w:r>
      <w:r>
        <w:rPr>
          <w:rFonts w:hint="eastAsia" w:ascii="仿宋" w:hAnsi="仿宋" w:eastAsia="仿宋"/>
          <w:sz w:val="32"/>
          <w:szCs w:val="32"/>
        </w:rPr>
        <w:t>协议</w:t>
      </w:r>
      <w:r>
        <w:rPr>
          <w:rFonts w:hint="eastAsia" w:ascii="仿宋" w:hAnsi="仿宋" w:eastAsia="仿宋"/>
          <w:sz w:val="32"/>
          <w:szCs w:val="32"/>
          <w:lang w:val="en-US" w:eastAsia="zh-CN"/>
        </w:rPr>
        <w:t>核心</w:t>
      </w:r>
      <w:r>
        <w:rPr>
          <w:rFonts w:hint="eastAsia" w:ascii="仿宋" w:hAnsi="仿宋" w:eastAsia="仿宋"/>
          <w:sz w:val="32"/>
          <w:szCs w:val="32"/>
        </w:rPr>
        <w:t>内容（附件3）进行审议。</w:t>
      </w:r>
    </w:p>
    <w:p w14:paraId="0C1F874B">
      <w:pPr>
        <w:spacing w:after="0" w:line="360" w:lineRule="auto"/>
        <w:ind w:firstLine="640" w:firstLineChars="200"/>
        <w:jc w:val="both"/>
        <w:rPr>
          <w:rFonts w:hint="eastAsia" w:ascii="仿宋" w:hAnsi="仿宋" w:eastAsia="仿宋"/>
          <w:sz w:val="32"/>
          <w:szCs w:val="32"/>
        </w:rPr>
      </w:pPr>
    </w:p>
    <w:p w14:paraId="6A316272">
      <w:pPr>
        <w:spacing w:after="0"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附件：1.大数据专业中外合作办学项目申报材料准备进</w:t>
      </w:r>
    </w:p>
    <w:p w14:paraId="733FAE05">
      <w:pPr>
        <w:spacing w:after="0" w:line="360" w:lineRule="auto"/>
        <w:ind w:firstLine="1600" w:firstLineChars="5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度表</w:t>
      </w:r>
    </w:p>
    <w:p w14:paraId="6F593618">
      <w:pPr>
        <w:numPr>
          <w:ilvl w:val="0"/>
          <w:numId w:val="1"/>
        </w:numPr>
        <w:spacing w:after="0" w:line="360" w:lineRule="auto"/>
        <w:ind w:firstLine="1600" w:firstLineChars="500"/>
        <w:jc w:val="both"/>
        <w:rPr>
          <w:rFonts w:hint="default" w:ascii="仿宋" w:hAnsi="仿宋" w:eastAsia="仿宋"/>
          <w:sz w:val="32"/>
          <w:szCs w:val="32"/>
          <w:lang w:val="en-US" w:eastAsia="zh-CN"/>
        </w:rPr>
      </w:pPr>
      <w:r>
        <w:rPr>
          <w:rFonts w:hint="eastAsia" w:ascii="仿宋" w:hAnsi="仿宋" w:eastAsia="仿宋"/>
          <w:sz w:val="32"/>
          <w:szCs w:val="32"/>
          <w:lang w:val="en-US" w:eastAsia="zh-CN"/>
        </w:rPr>
        <w:t>工作专班人员架构</w:t>
      </w:r>
    </w:p>
    <w:p w14:paraId="0A52A575">
      <w:pPr>
        <w:numPr>
          <w:ilvl w:val="0"/>
          <w:numId w:val="1"/>
        </w:numPr>
        <w:spacing w:after="0" w:line="360" w:lineRule="auto"/>
        <w:ind w:firstLine="1600" w:firstLineChars="500"/>
        <w:jc w:val="both"/>
        <w:rPr>
          <w:rFonts w:hint="default" w:ascii="仿宋" w:hAnsi="仿宋" w:eastAsia="仿宋"/>
          <w:sz w:val="32"/>
          <w:szCs w:val="32"/>
          <w:lang w:val="en-US" w:eastAsia="zh-CN"/>
        </w:rPr>
      </w:pPr>
      <w:r>
        <w:rPr>
          <w:rFonts w:hint="eastAsia" w:ascii="仿宋" w:hAnsi="仿宋" w:eastAsia="仿宋"/>
          <w:sz w:val="32"/>
          <w:szCs w:val="32"/>
          <w:lang w:val="en-US" w:eastAsia="zh-CN"/>
        </w:rPr>
        <w:t>校际财务协议核心内容</w:t>
      </w:r>
    </w:p>
    <w:p w14:paraId="5CC9FF52">
      <w:pPr>
        <w:wordWrap w:val="0"/>
        <w:spacing w:after="0" w:line="360" w:lineRule="auto"/>
        <w:ind w:firstLine="640" w:firstLineChars="200"/>
        <w:jc w:val="right"/>
        <w:rPr>
          <w:rFonts w:hint="eastAsia" w:ascii="仿宋" w:hAnsi="仿宋" w:eastAsia="仿宋"/>
          <w:sz w:val="32"/>
          <w:szCs w:val="32"/>
        </w:rPr>
      </w:pPr>
    </w:p>
    <w:p w14:paraId="1D3EF301">
      <w:pPr>
        <w:wordWrap w:val="0"/>
        <w:spacing w:after="0" w:line="360" w:lineRule="auto"/>
        <w:ind w:firstLine="3840" w:firstLineChars="1200"/>
        <w:jc w:val="both"/>
        <w:rPr>
          <w:rFonts w:hint="default" w:ascii="仿宋" w:hAnsi="仿宋" w:eastAsia="仿宋"/>
          <w:sz w:val="32"/>
          <w:szCs w:val="32"/>
          <w:lang w:val="en-US" w:eastAsia="zh-CN"/>
        </w:rPr>
      </w:pPr>
      <w:r>
        <w:rPr>
          <w:rFonts w:hint="eastAsia" w:ascii="仿宋" w:hAnsi="仿宋" w:eastAsia="仿宋"/>
          <w:sz w:val="32"/>
          <w:szCs w:val="32"/>
        </w:rPr>
        <w:t>国际合作与交流中心</w:t>
      </w:r>
      <w:r>
        <w:rPr>
          <w:rFonts w:hint="eastAsia" w:ascii="仿宋" w:hAnsi="仿宋" w:eastAsia="仿宋"/>
          <w:sz w:val="32"/>
          <w:szCs w:val="32"/>
          <w:lang w:val="en-US" w:eastAsia="zh-CN"/>
        </w:rPr>
        <w:t xml:space="preserve">         </w:t>
      </w:r>
    </w:p>
    <w:p w14:paraId="6EDD0C46">
      <w:pPr>
        <w:wordWrap w:val="0"/>
        <w:spacing w:after="0" w:line="360" w:lineRule="auto"/>
        <w:ind w:right="320" w:firstLine="640" w:firstLineChars="200"/>
        <w:jc w:val="center"/>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2026年1月</w:t>
      </w:r>
      <w:r>
        <w:rPr>
          <w:rFonts w:hint="eastAsia" w:ascii="仿宋" w:hAnsi="仿宋" w:eastAsia="仿宋"/>
          <w:sz w:val="32"/>
          <w:szCs w:val="32"/>
          <w:lang w:val="en-US" w:eastAsia="zh-CN"/>
        </w:rPr>
        <w:t>16</w:t>
      </w:r>
      <w:r>
        <w:rPr>
          <w:rFonts w:hint="eastAsia" w:ascii="仿宋" w:hAnsi="仿宋" w:eastAsia="仿宋"/>
          <w:sz w:val="32"/>
          <w:szCs w:val="32"/>
        </w:rPr>
        <w:t>日</w:t>
      </w:r>
      <w:r>
        <w:rPr>
          <w:rFonts w:hint="eastAsia" w:ascii="仿宋" w:hAnsi="仿宋" w:eastAsia="仿宋"/>
          <w:sz w:val="32"/>
          <w:szCs w:val="32"/>
          <w:lang w:val="en-US" w:eastAsia="zh-CN"/>
        </w:rPr>
        <w:t xml:space="preserve">        </w:t>
      </w:r>
      <w:bookmarkStart w:id="1" w:name="_GoBack"/>
    </w:p>
    <w:bookmarkEnd w:id="1"/>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0398148"/>
      <w:docPartObj>
        <w:docPartGallery w:val="autotext"/>
      </w:docPartObj>
    </w:sdtPr>
    <w:sdtContent>
      <w:sdt>
        <w:sdtPr>
          <w:id w:val="1728636285"/>
          <w:docPartObj>
            <w:docPartGallery w:val="autotext"/>
          </w:docPartObj>
        </w:sdtPr>
        <w:sdtContent>
          <w:p w14:paraId="321A6A0B">
            <w:pPr>
              <w:pStyle w:val="11"/>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6FDC5EDB">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42550">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D23FC">
    <w:pPr>
      <w:pStyle w:val="11"/>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7B749">
    <w:pPr>
      <w:pStyle w:val="12"/>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3BD27">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4A45D">
    <w:pPr>
      <w:pStyle w:val="12"/>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66AAC"/>
    <w:multiLevelType w:val="singleLevel"/>
    <w:tmpl w:val="FFD66A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40D"/>
    <w:rsid w:val="0021065F"/>
    <w:rsid w:val="00437062"/>
    <w:rsid w:val="00460F59"/>
    <w:rsid w:val="005425DE"/>
    <w:rsid w:val="00734219"/>
    <w:rsid w:val="008239DF"/>
    <w:rsid w:val="009D2FAD"/>
    <w:rsid w:val="00C06613"/>
    <w:rsid w:val="00C20F97"/>
    <w:rsid w:val="00C4556E"/>
    <w:rsid w:val="00D519C7"/>
    <w:rsid w:val="00F9540D"/>
    <w:rsid w:val="0680729D"/>
    <w:rsid w:val="07FD2C98"/>
    <w:rsid w:val="16EA04A2"/>
    <w:rsid w:val="3AB01864"/>
    <w:rsid w:val="60394865"/>
    <w:rsid w:val="683805A8"/>
    <w:rsid w:val="77586322"/>
    <w:rsid w:val="7AF35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6"/>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sz w:val="18"/>
      <w:szCs w:val="18"/>
    </w:rPr>
  </w:style>
  <w:style w:type="character" w:customStyle="1" w:styleId="37">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712d1755-bb6d-4f11-a389-ce78f38f43fb</errorID>
      <errorWord>,</errorWord>
      <group>L1_Format</group>
      <groupName>格式问题</groupName>
      <ability>L2_HalfPunc</ability>
      <abilityName>全半角检查</abilityName>
      <candidateList>
        <item>，</item>
      </candidateList>
      <explain>文本全半角错误。</explain>
      <paraID>4FD42090</paraID>
      <start>164</start>
      <end>165</end>
      <status>modified</status>
      <modifiedWord>，</modifiedWord>
      <trackRevisions>false</trackRevisions>
    </reviewItem>
    <reviewItem>
      <errorID>a574882f-651b-4b64-96db-fdb74ad68a83</errorID>
      <errorWord>,</errorWord>
      <group>L1_Format</group>
      <groupName>格式问题</groupName>
      <ability>L2_HalfPunc</ability>
      <abilityName>全半角检查</abilityName>
      <candidateList>
        <item>，</item>
      </candidateList>
      <explain>文本全半角错误。</explain>
      <paraID>4FD42090</paraID>
      <start>284</start>
      <end>285</end>
      <status>modified</status>
      <modifiedWord>，</modifiedWord>
      <trackRevisions>false</trackRevisions>
    </reviewItem>
    <reviewItem>
      <errorID>d242d634-2d92-493a-ba5a-f09a0a9e1ada</errorID>
      <errorWord>(</errorWord>
      <group>L1_Format</group>
      <groupName>格式问题</groupName>
      <ability>L2_HalfPunc</ability>
      <abilityName>全半角检查</abilityName>
      <candidateList>
        <item>（</item>
      </candidateList>
      <explain>文本全半角错误。</explain>
      <paraID>4FD42090</paraID>
      <start>331</start>
      <end>332</end>
      <status>modified</status>
      <modifiedWord>（</modifiedWord>
      <trackRevisions>false</trackRevisions>
    </reviewItem>
    <reviewItem>
      <errorID>464a5b8e-f2d2-47dc-8d5b-96b393dd7730</errorID>
      <errorWord>)</errorWord>
      <group>L1_Format</group>
      <groupName>格式问题</groupName>
      <ability>L2_HalfPunc</ability>
      <abilityName>全半角检查</abilityName>
      <candidateList>
        <item>）</item>
      </candidateList>
      <explain>文本全半角错误。</explain>
      <paraID>4FD42090</paraID>
      <start>339</start>
      <end>340</end>
      <status>modified</status>
      <modifiedWord>）</modifiedWord>
      <trackRevisions>false</trackRevisions>
    </reviewItem>
    <reviewItem>
      <errorID>b69ecd82-9635-4db2-8178-e16d44487cd0</errorID>
      <errorWord>根据公开资料显示</errorWord>
      <group>L1_Grammar</group>
      <groupName>语法问题</groupName>
      <ability>L2_Grammar</ability>
      <abilityName>语法错误</abilityName>
      <candidateList>
        <item>根据公开资料</item>
      </candidateList>
      <explain/>
      <paraID>4FD42090</paraID>
      <start>341</start>
      <end>349</end>
      <status>unmodified</status>
      <modifiedWord/>
      <trackRevisions>false</trackRevisions>
    </reviewItem>
    <reviewItem>
      <errorID>3d85454e-3e93-4680-bd33-f411afab34ef</errorID>
      <errorWord>取</errorWord>
      <group>L1_Grammar</group>
      <groupName>语法问题</groupName>
      <ability>L2_Missing</ability>
      <abilityName>成分残缺</abilityName>
      <candidateList>
        <item>教育部取</item>
      </candidateList>
      <explain>句子中可能存在主谓宾、修饰语或者必要的词语残缺。</explain>
      <paraID>2FFA7DF9</paraID>
      <start>19</start>
      <end>20</end>
      <status>unmodified</status>
      <modifiedWord/>
      <trackRevisions>false</trackRevisions>
    </reviewItem>
  </reviewItems>
  <config/>
</contractReview>
</file>

<file path=customXml/itemProps1.xml><?xml version="1.0" encoding="utf-8"?>
<ds:datastoreItem xmlns:ds="http://schemas.openxmlformats.org/officeDocument/2006/customXml" ds:itemID="{85c773db-72cf-4b2a-a67c-143e89d45501}">
  <ds:schemaRefs/>
</ds:datastoreItem>
</file>

<file path=docProps/app.xml><?xml version="1.0" encoding="utf-8"?>
<Properties xmlns="http://schemas.openxmlformats.org/officeDocument/2006/extended-properties" xmlns:vt="http://schemas.openxmlformats.org/officeDocument/2006/docPropsVTypes">
  <Template>Normal</Template>
  <Pages>3</Pages>
  <Words>1322</Words>
  <Characters>1382</Characters>
  <Lines>28</Lines>
  <Paragraphs>15</Paragraphs>
  <TotalTime>2</TotalTime>
  <ScaleCrop>false</ScaleCrop>
  <LinksUpToDate>false</LinksUpToDate>
  <CharactersWithSpaces>1399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2026-01-04T02:46:00Z</dcterms:created>
  <dc:creator>chenxi li</dc:creator>
  <cp:lastModifiedBy>王萍</cp:lastModifiedBy>
  <cp:lastPrinted>2026-01-17T06:06:52Z</cp:lastPrinted>
  <dcterms:modified xsi:type="dcterms:W3CDTF">2026-01-17T06:07:32Z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eyJoZGlkIjoiMzI4YWJhN2JkZTZiOGU4ZmJjZmY3MDMzYmUxZmQzNDIiLCJ1c2VySWQiOiI0OTI3MTg4NDUifQ==</vt:lpwstr>
  </property>
  <property fmtid="{D5CDD505-2E9C-101B-9397-08002B2CF9AE}" pid="3" name="KSOProductBuildVer">
    <vt:lpwstr>2052-12.1.0.24657</vt:lpwstr>
  </property>
  <property fmtid="{D5CDD505-2E9C-101B-9397-08002B2CF9AE}" pid="4" name="ICV">
    <vt:lpwstr>261903683B8F4251ABB74443FB66857D_12</vt:lpwstr>
  </property>
</Properties>
</file>